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622B30" w:rsidRPr="00622B30">
        <w:rPr>
          <w:rFonts w:cs="Arial"/>
          <w:sz w:val="28"/>
          <w:szCs w:val="28"/>
        </w:rPr>
        <w:t>Zwei Kreise</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5"/>
        <w:gridCol w:w="6597"/>
      </w:tblGrid>
      <w:tr w:rsidR="00622B30" w:rsidTr="00622B30">
        <w:tc>
          <w:tcPr>
            <w:tcW w:w="2465" w:type="dxa"/>
            <w:tcBorders>
              <w:top w:val="single" w:sz="4" w:space="0" w:color="auto"/>
              <w:left w:val="single" w:sz="4" w:space="0" w:color="auto"/>
              <w:bottom w:val="dotted" w:sz="4" w:space="0" w:color="auto"/>
              <w:right w:val="dotted" w:sz="4" w:space="0" w:color="auto"/>
            </w:tcBorders>
            <w:vAlign w:val="center"/>
            <w:hideMark/>
          </w:tcPr>
          <w:p w:rsidR="00622B30" w:rsidRDefault="00622B30">
            <w:pPr>
              <w:pStyle w:val="IQB-Merkmal"/>
              <w:rPr>
                <w:rFonts w:cs="Arial"/>
              </w:rPr>
            </w:pPr>
            <w:r>
              <w:rPr>
                <w:rFonts w:cs="Arial"/>
              </w:rPr>
              <w:t>Leitidee</w:t>
            </w:r>
          </w:p>
        </w:tc>
        <w:tc>
          <w:tcPr>
            <w:tcW w:w="6597" w:type="dxa"/>
            <w:tcBorders>
              <w:top w:val="single" w:sz="4" w:space="0" w:color="auto"/>
              <w:left w:val="dotted" w:sz="4" w:space="0" w:color="auto"/>
              <w:bottom w:val="dotted" w:sz="4" w:space="0" w:color="auto"/>
              <w:right w:val="single" w:sz="4" w:space="0" w:color="auto"/>
            </w:tcBorders>
            <w:hideMark/>
          </w:tcPr>
          <w:p w:rsidR="00622B30" w:rsidRDefault="00622B30">
            <w:pPr>
              <w:pStyle w:val="IQB-Merkmalswert"/>
              <w:rPr>
                <w:rFonts w:cs="Arial"/>
              </w:rPr>
            </w:pPr>
            <w:r>
              <w:rPr>
                <w:rFonts w:cs="Arial"/>
              </w:rPr>
              <w:t>3. Raum und Form</w:t>
            </w:r>
          </w:p>
        </w:tc>
      </w:tr>
      <w:tr w:rsidR="00622B30" w:rsidTr="00622B30">
        <w:tc>
          <w:tcPr>
            <w:tcW w:w="2465" w:type="dxa"/>
            <w:tcBorders>
              <w:top w:val="dotted" w:sz="4" w:space="0" w:color="auto"/>
              <w:left w:val="single" w:sz="4" w:space="0" w:color="auto"/>
              <w:bottom w:val="dotted" w:sz="4" w:space="0" w:color="auto"/>
              <w:right w:val="dotted" w:sz="4" w:space="0" w:color="auto"/>
            </w:tcBorders>
            <w:vAlign w:val="center"/>
            <w:hideMark/>
          </w:tcPr>
          <w:p w:rsidR="00622B30" w:rsidRDefault="00622B30">
            <w:pPr>
              <w:pStyle w:val="IQB-Merkmal"/>
              <w:rPr>
                <w:rFonts w:cs="Arial"/>
              </w:rPr>
            </w:pPr>
            <w:r>
              <w:rPr>
                <w:rFonts w:cs="Arial"/>
              </w:rPr>
              <w:t>Allgemeine Kompetenzen</w:t>
            </w:r>
          </w:p>
        </w:tc>
        <w:tc>
          <w:tcPr>
            <w:tcW w:w="6597" w:type="dxa"/>
            <w:tcBorders>
              <w:top w:val="dotted" w:sz="4" w:space="0" w:color="auto"/>
              <w:left w:val="dotted" w:sz="4" w:space="0" w:color="auto"/>
              <w:bottom w:val="dotted" w:sz="4" w:space="0" w:color="auto"/>
              <w:right w:val="single" w:sz="4" w:space="0" w:color="auto"/>
            </w:tcBorders>
            <w:hideMark/>
          </w:tcPr>
          <w:p w:rsidR="00622B30" w:rsidRDefault="00622B30">
            <w:pPr>
              <w:pStyle w:val="IQB-Merkmalswert"/>
              <w:rPr>
                <w:rFonts w:cs="Arial"/>
              </w:rPr>
            </w:pPr>
            <w:r>
              <w:rPr>
                <w:rFonts w:cs="Arial"/>
              </w:rPr>
              <w:t>Probleme mathematisch lösen (K2)</w:t>
            </w:r>
          </w:p>
          <w:p w:rsidR="00622B30" w:rsidRDefault="00622B30">
            <w:pPr>
              <w:pStyle w:val="IQB-Merkmalswert"/>
              <w:rPr>
                <w:rFonts w:cs="Arial"/>
              </w:rPr>
            </w:pPr>
            <w:r>
              <w:rPr>
                <w:rFonts w:cs="Arial"/>
              </w:rPr>
              <w:t>Mathematische Darstellungen verwenden (K4)</w:t>
            </w:r>
          </w:p>
          <w:p w:rsidR="00622B30" w:rsidRDefault="00622B30">
            <w:pPr>
              <w:pStyle w:val="IQB-Merkmalswert"/>
              <w:rPr>
                <w:rFonts w:cs="Arial"/>
              </w:rPr>
            </w:pPr>
            <w:r>
              <w:rPr>
                <w:rFonts w:cs="Arial"/>
              </w:rPr>
              <w:t>Mathematisch kommunizieren (K6)</w:t>
            </w:r>
          </w:p>
        </w:tc>
      </w:tr>
      <w:tr w:rsidR="00622B30" w:rsidTr="00622B30">
        <w:tc>
          <w:tcPr>
            <w:tcW w:w="2465" w:type="dxa"/>
            <w:tcBorders>
              <w:top w:val="dotted" w:sz="4" w:space="0" w:color="auto"/>
              <w:left w:val="single" w:sz="4" w:space="0" w:color="auto"/>
              <w:bottom w:val="dotted" w:sz="4" w:space="0" w:color="auto"/>
              <w:right w:val="dotted" w:sz="4" w:space="0" w:color="auto"/>
            </w:tcBorders>
            <w:vAlign w:val="center"/>
            <w:hideMark/>
          </w:tcPr>
          <w:p w:rsidR="00622B30" w:rsidRDefault="00622B30">
            <w:pPr>
              <w:pStyle w:val="IQB-Merkmal"/>
              <w:rPr>
                <w:rFonts w:cs="Arial"/>
              </w:rPr>
            </w:pPr>
            <w:r>
              <w:rPr>
                <w:rFonts w:cs="Arial"/>
              </w:rPr>
              <w:t>Anforderungsbereich</w:t>
            </w:r>
          </w:p>
        </w:tc>
        <w:tc>
          <w:tcPr>
            <w:tcW w:w="6597" w:type="dxa"/>
            <w:tcBorders>
              <w:top w:val="dotted" w:sz="4" w:space="0" w:color="auto"/>
              <w:left w:val="dotted" w:sz="4" w:space="0" w:color="auto"/>
              <w:bottom w:val="dotted" w:sz="4" w:space="0" w:color="auto"/>
              <w:right w:val="single" w:sz="4" w:space="0" w:color="auto"/>
            </w:tcBorders>
            <w:hideMark/>
          </w:tcPr>
          <w:p w:rsidR="00622B30" w:rsidRDefault="00622B30">
            <w:pPr>
              <w:pStyle w:val="IQB-Merkmalswert"/>
              <w:rPr>
                <w:rFonts w:cs="Arial"/>
              </w:rPr>
            </w:pPr>
            <w:r>
              <w:rPr>
                <w:rFonts w:cs="Arial"/>
              </w:rPr>
              <w:t>III</w:t>
            </w:r>
          </w:p>
        </w:tc>
      </w:tr>
      <w:tr w:rsidR="00622B30" w:rsidTr="00622B30">
        <w:tc>
          <w:tcPr>
            <w:tcW w:w="2465" w:type="dxa"/>
            <w:tcBorders>
              <w:top w:val="dotted" w:sz="4" w:space="0" w:color="auto"/>
              <w:left w:val="single" w:sz="4" w:space="0" w:color="auto"/>
              <w:bottom w:val="single" w:sz="4" w:space="0" w:color="auto"/>
              <w:right w:val="dotted" w:sz="4" w:space="0" w:color="auto"/>
            </w:tcBorders>
            <w:vAlign w:val="center"/>
            <w:hideMark/>
          </w:tcPr>
          <w:p w:rsidR="00622B30" w:rsidRDefault="00622B30">
            <w:pPr>
              <w:pStyle w:val="IQB-Merkmal"/>
              <w:rPr>
                <w:rFonts w:cs="Arial"/>
              </w:rPr>
            </w:pPr>
            <w:r>
              <w:rPr>
                <w:rFonts w:cs="Arial"/>
              </w:rPr>
              <w:t>Kompetenzstufe</w:t>
            </w:r>
          </w:p>
        </w:tc>
        <w:tc>
          <w:tcPr>
            <w:tcW w:w="6597" w:type="dxa"/>
            <w:tcBorders>
              <w:top w:val="dotted" w:sz="4" w:space="0" w:color="auto"/>
              <w:left w:val="dotted" w:sz="4" w:space="0" w:color="auto"/>
              <w:bottom w:val="single" w:sz="4" w:space="0" w:color="auto"/>
              <w:right w:val="single" w:sz="4" w:space="0" w:color="auto"/>
            </w:tcBorders>
            <w:hideMark/>
          </w:tcPr>
          <w:p w:rsidR="00622B30" w:rsidRDefault="00622B30">
            <w:pPr>
              <w:pStyle w:val="IQB-Merkmalswert"/>
              <w:rPr>
                <w:rFonts w:cs="Arial"/>
              </w:rPr>
            </w:pPr>
            <w:r>
              <w:rPr>
                <w:rFonts w:cs="Arial"/>
              </w:rPr>
              <w:t>3</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622B30" w:rsidTr="00622B30">
        <w:tc>
          <w:tcPr>
            <w:tcW w:w="2466" w:type="dxa"/>
            <w:tcBorders>
              <w:top w:val="single" w:sz="4" w:space="0" w:color="auto"/>
              <w:left w:val="single" w:sz="4" w:space="0" w:color="auto"/>
              <w:bottom w:val="dotted" w:sz="4" w:space="0" w:color="auto"/>
              <w:right w:val="dotted" w:sz="4" w:space="0" w:color="auto"/>
            </w:tcBorders>
            <w:vAlign w:val="center"/>
            <w:hideMark/>
          </w:tcPr>
          <w:p w:rsidR="00622B30" w:rsidRDefault="00622B30">
            <w:pPr>
              <w:pStyle w:val="IQB-Merkmal"/>
              <w:rPr>
                <w:rFonts w:cs="Arial"/>
              </w:rPr>
            </w:pPr>
            <w:r>
              <w:rPr>
                <w:rFonts w:cs="Arial"/>
              </w:rPr>
              <w:t>Leitidee</w:t>
            </w:r>
          </w:p>
        </w:tc>
        <w:tc>
          <w:tcPr>
            <w:tcW w:w="6604" w:type="dxa"/>
            <w:tcBorders>
              <w:top w:val="single" w:sz="4" w:space="0" w:color="auto"/>
              <w:left w:val="dotted" w:sz="4" w:space="0" w:color="auto"/>
              <w:bottom w:val="dotted" w:sz="4" w:space="0" w:color="auto"/>
              <w:right w:val="single" w:sz="4" w:space="0" w:color="auto"/>
            </w:tcBorders>
            <w:hideMark/>
          </w:tcPr>
          <w:p w:rsidR="00622B30" w:rsidRDefault="00622B30">
            <w:pPr>
              <w:pStyle w:val="IQB-Merkmalswert"/>
              <w:rPr>
                <w:rFonts w:cs="Arial"/>
              </w:rPr>
            </w:pPr>
            <w:r>
              <w:rPr>
                <w:rFonts w:cs="Arial"/>
              </w:rPr>
              <w:t>3. Raum und Form</w:t>
            </w:r>
          </w:p>
        </w:tc>
      </w:tr>
      <w:tr w:rsidR="00622B30" w:rsidTr="00622B30">
        <w:tc>
          <w:tcPr>
            <w:tcW w:w="2466" w:type="dxa"/>
            <w:tcBorders>
              <w:top w:val="dotted" w:sz="4" w:space="0" w:color="auto"/>
              <w:left w:val="single" w:sz="4" w:space="0" w:color="auto"/>
              <w:bottom w:val="dotted" w:sz="4" w:space="0" w:color="auto"/>
              <w:right w:val="dotted" w:sz="4" w:space="0" w:color="auto"/>
            </w:tcBorders>
            <w:vAlign w:val="center"/>
            <w:hideMark/>
          </w:tcPr>
          <w:p w:rsidR="00622B30" w:rsidRDefault="00622B30">
            <w:pPr>
              <w:pStyle w:val="IQB-Merkmal"/>
              <w:rPr>
                <w:rFonts w:cs="Arial"/>
              </w:rPr>
            </w:pPr>
            <w:r>
              <w:rPr>
                <w:rFonts w:cs="Arial"/>
              </w:rPr>
              <w:t>Allgemeine Kompetenzen</w:t>
            </w:r>
          </w:p>
        </w:tc>
        <w:tc>
          <w:tcPr>
            <w:tcW w:w="6604" w:type="dxa"/>
            <w:tcBorders>
              <w:top w:val="dotted" w:sz="4" w:space="0" w:color="auto"/>
              <w:left w:val="dotted" w:sz="4" w:space="0" w:color="auto"/>
              <w:bottom w:val="dotted" w:sz="4" w:space="0" w:color="auto"/>
              <w:right w:val="single" w:sz="4" w:space="0" w:color="auto"/>
            </w:tcBorders>
            <w:hideMark/>
          </w:tcPr>
          <w:p w:rsidR="00622B30" w:rsidRDefault="00622B30">
            <w:pPr>
              <w:pStyle w:val="IQB-Merkmalswert"/>
              <w:rPr>
                <w:rFonts w:cs="Arial"/>
              </w:rPr>
            </w:pPr>
            <w:r>
              <w:rPr>
                <w:rFonts w:cs="Arial"/>
              </w:rPr>
              <w:t>Mathematisch argumentieren (K1)</w:t>
            </w:r>
          </w:p>
          <w:p w:rsidR="00622B30" w:rsidRDefault="00622B30">
            <w:pPr>
              <w:pStyle w:val="IQB-Merkmalswert"/>
              <w:rPr>
                <w:rFonts w:cs="Arial"/>
              </w:rPr>
            </w:pPr>
            <w:r>
              <w:rPr>
                <w:rFonts w:cs="Arial"/>
              </w:rPr>
              <w:t>Probleme mathematisch lösen (K2)</w:t>
            </w:r>
          </w:p>
          <w:p w:rsidR="00622B30" w:rsidRDefault="00622B30">
            <w:pPr>
              <w:pStyle w:val="IQB-Merkmalswert"/>
              <w:rPr>
                <w:rFonts w:cs="Arial"/>
              </w:rPr>
            </w:pPr>
            <w:r>
              <w:rPr>
                <w:rFonts w:cs="Arial"/>
              </w:rPr>
              <w:t>Mathematische Darstellungen verwenden (K4)</w:t>
            </w:r>
          </w:p>
          <w:p w:rsidR="00622B30" w:rsidRDefault="00622B30">
            <w:pPr>
              <w:pStyle w:val="IQB-Merkmalswert"/>
              <w:rPr>
                <w:rFonts w:cs="Arial"/>
              </w:rPr>
            </w:pPr>
            <w:r>
              <w:rPr>
                <w:rFonts w:cs="Arial"/>
              </w:rPr>
              <w:t>Mathematisch kommunizieren (K6)</w:t>
            </w:r>
          </w:p>
        </w:tc>
      </w:tr>
      <w:tr w:rsidR="00622B30" w:rsidTr="00622B30">
        <w:tc>
          <w:tcPr>
            <w:tcW w:w="2466" w:type="dxa"/>
            <w:tcBorders>
              <w:top w:val="dotted" w:sz="4" w:space="0" w:color="auto"/>
              <w:left w:val="single" w:sz="4" w:space="0" w:color="auto"/>
              <w:bottom w:val="dotted" w:sz="4" w:space="0" w:color="auto"/>
              <w:right w:val="dotted" w:sz="4" w:space="0" w:color="auto"/>
            </w:tcBorders>
            <w:vAlign w:val="center"/>
            <w:hideMark/>
          </w:tcPr>
          <w:p w:rsidR="00622B30" w:rsidRDefault="00622B30">
            <w:pPr>
              <w:pStyle w:val="IQB-Merkmal"/>
              <w:rPr>
                <w:rFonts w:cs="Arial"/>
              </w:rPr>
            </w:pPr>
            <w:r>
              <w:rPr>
                <w:rFonts w:cs="Arial"/>
              </w:rPr>
              <w:t>Anforderungsbereich</w:t>
            </w:r>
          </w:p>
        </w:tc>
        <w:tc>
          <w:tcPr>
            <w:tcW w:w="6604" w:type="dxa"/>
            <w:tcBorders>
              <w:top w:val="dotted" w:sz="4" w:space="0" w:color="auto"/>
              <w:left w:val="dotted" w:sz="4" w:space="0" w:color="auto"/>
              <w:bottom w:val="dotted" w:sz="4" w:space="0" w:color="auto"/>
              <w:right w:val="single" w:sz="4" w:space="0" w:color="auto"/>
            </w:tcBorders>
            <w:hideMark/>
          </w:tcPr>
          <w:p w:rsidR="00622B30" w:rsidRDefault="00622B30">
            <w:pPr>
              <w:pStyle w:val="IQB-Merkmalswert"/>
              <w:rPr>
                <w:rFonts w:cs="Arial"/>
              </w:rPr>
            </w:pPr>
            <w:r>
              <w:rPr>
                <w:rFonts w:cs="Arial"/>
              </w:rPr>
              <w:t>III</w:t>
            </w:r>
          </w:p>
        </w:tc>
      </w:tr>
      <w:tr w:rsidR="00622B30" w:rsidTr="00622B30">
        <w:tc>
          <w:tcPr>
            <w:tcW w:w="2466" w:type="dxa"/>
            <w:tcBorders>
              <w:top w:val="dotted" w:sz="4" w:space="0" w:color="auto"/>
              <w:left w:val="single" w:sz="4" w:space="0" w:color="auto"/>
              <w:bottom w:val="single" w:sz="4" w:space="0" w:color="auto"/>
              <w:right w:val="dotted" w:sz="4" w:space="0" w:color="auto"/>
            </w:tcBorders>
            <w:vAlign w:val="center"/>
            <w:hideMark/>
          </w:tcPr>
          <w:p w:rsidR="00622B30" w:rsidRDefault="00622B30">
            <w:pPr>
              <w:pStyle w:val="IQB-Merkmal"/>
              <w:rPr>
                <w:rFonts w:cs="Arial"/>
              </w:rPr>
            </w:pPr>
            <w:r>
              <w:rPr>
                <w:rFonts w:cs="Arial"/>
              </w:rPr>
              <w:t>Kompetenzstufe</w:t>
            </w:r>
          </w:p>
        </w:tc>
        <w:tc>
          <w:tcPr>
            <w:tcW w:w="6604" w:type="dxa"/>
            <w:tcBorders>
              <w:top w:val="dotted" w:sz="4" w:space="0" w:color="auto"/>
              <w:left w:val="dotted" w:sz="4" w:space="0" w:color="auto"/>
              <w:bottom w:val="single" w:sz="4" w:space="0" w:color="auto"/>
              <w:right w:val="single" w:sz="4" w:space="0" w:color="auto"/>
            </w:tcBorders>
            <w:hideMark/>
          </w:tcPr>
          <w:p w:rsidR="00622B30" w:rsidRDefault="00622B30">
            <w:pPr>
              <w:pStyle w:val="IQB-Merkmalswert"/>
              <w:rPr>
                <w:rFonts w:cs="Arial"/>
              </w:rPr>
            </w:pPr>
            <w:r>
              <w:rPr>
                <w:rFonts w:cs="Arial"/>
              </w:rPr>
              <w:t>5</w:t>
            </w:r>
          </w:p>
        </w:tc>
      </w:tr>
    </w:tbl>
    <w:p w:rsidR="00694A63" w:rsidRPr="00694A63" w:rsidRDefault="00694A63" w:rsidP="00694A63">
      <w:pPr>
        <w:pStyle w:val="IQB-Teilaufgabentitel"/>
        <w:rPr>
          <w:b/>
        </w:rPr>
      </w:pPr>
      <w:r w:rsidRPr="00694A63">
        <w:rPr>
          <w:b/>
        </w:rPr>
        <w:t>Aufgabenbezogener Kommentar</w:t>
      </w:r>
    </w:p>
    <w:p w:rsidR="00622B30" w:rsidRDefault="00622B30" w:rsidP="00622B30">
      <w:pPr>
        <w:pStyle w:val="IQB-AnweisungenText"/>
        <w:spacing w:before="0"/>
        <w:rPr>
          <w:rFonts w:ascii="Arial" w:hAnsi="Arial"/>
          <w:sz w:val="22"/>
          <w:szCs w:val="22"/>
        </w:rPr>
      </w:pPr>
      <w:r>
        <w:rPr>
          <w:rFonts w:ascii="Arial" w:hAnsi="Arial"/>
          <w:sz w:val="22"/>
          <w:szCs w:val="22"/>
        </w:rPr>
        <w:t xml:space="preserve">Die Aufgabe gehört primär zur Leitidee </w:t>
      </w:r>
      <w:r>
        <w:rPr>
          <w:rFonts w:ascii="Arial" w:hAnsi="Arial"/>
          <w:i/>
          <w:sz w:val="22"/>
          <w:szCs w:val="22"/>
        </w:rPr>
        <w:t>Raum und Form</w:t>
      </w:r>
      <w:r>
        <w:rPr>
          <w:rFonts w:ascii="Arial" w:hAnsi="Arial"/>
          <w:sz w:val="22"/>
          <w:szCs w:val="22"/>
        </w:rPr>
        <w:t xml:space="preserve"> (L3), da diverse Dreiecke auf begrifflicher Ebene zu analysieren sind. Teilaufgabe 2 enthält zusätzlich Aspekte der Leitidee </w:t>
      </w:r>
      <w:r>
        <w:rPr>
          <w:rFonts w:ascii="Arial" w:hAnsi="Arial"/>
          <w:i/>
          <w:sz w:val="22"/>
          <w:szCs w:val="22"/>
        </w:rPr>
        <w:t>Messen</w:t>
      </w:r>
      <w:r>
        <w:rPr>
          <w:rFonts w:ascii="Arial" w:hAnsi="Arial"/>
          <w:sz w:val="22"/>
          <w:szCs w:val="22"/>
        </w:rPr>
        <w:t xml:space="preserve"> (L2), da Flächeninhalte von Dreiecken miteinander verglichen werden. </w:t>
      </w:r>
    </w:p>
    <w:p w:rsidR="00622B30" w:rsidRDefault="00622B30" w:rsidP="00622B30">
      <w:pPr>
        <w:pStyle w:val="IQB-AnweisungenText"/>
        <w:rPr>
          <w:rFonts w:ascii="Arial" w:hAnsi="Arial"/>
          <w:sz w:val="22"/>
          <w:szCs w:val="22"/>
        </w:rPr>
      </w:pPr>
      <w:r>
        <w:rPr>
          <w:rFonts w:ascii="Arial" w:hAnsi="Arial"/>
          <w:sz w:val="22"/>
          <w:szCs w:val="22"/>
        </w:rPr>
        <w:t>In Teilaufgabe 1 müssen dem einleitenden Text zunächst wichtige Informationen zur dargestellten Figur entnommen werden (K6, K4).</w:t>
      </w:r>
    </w:p>
    <w:p w:rsidR="00622B30" w:rsidRDefault="00622B30" w:rsidP="00622B30">
      <w:pPr>
        <w:pStyle w:val="IQB-AnweisungenText"/>
        <w:rPr>
          <w:rFonts w:ascii="Arial" w:hAnsi="Arial"/>
          <w:sz w:val="22"/>
          <w:szCs w:val="22"/>
        </w:rPr>
      </w:pPr>
      <w:r>
        <w:rPr>
          <w:rFonts w:ascii="Arial" w:hAnsi="Arial"/>
          <w:sz w:val="22"/>
          <w:szCs w:val="22"/>
        </w:rPr>
        <w:t xml:space="preserve">Um anschließend zu überprüfen, ob die zu dieser Figur formulierten Aussagen korrekt sind, müssen diese Aussagen zunächst inhaltlich verstanden werden (K6). Dem Verstehen der mathematischen Begriffe, </w:t>
      </w:r>
      <w:r>
        <w:rPr>
          <w:rFonts w:ascii="Arial" w:hAnsi="Arial"/>
          <w:color w:val="000000"/>
          <w:sz w:val="22"/>
          <w:szCs w:val="22"/>
        </w:rPr>
        <w:t>z.</w:t>
      </w:r>
      <w:r>
        <w:rPr>
          <w:rFonts w:ascii="Arial" w:hAnsi="Arial"/>
          <w:color w:val="000000"/>
          <w:sz w:val="12"/>
          <w:szCs w:val="12"/>
        </w:rPr>
        <w:t> </w:t>
      </w:r>
      <w:r>
        <w:rPr>
          <w:rFonts w:ascii="Arial" w:hAnsi="Arial"/>
          <w:color w:val="000000"/>
          <w:sz w:val="22"/>
          <w:szCs w:val="22"/>
        </w:rPr>
        <w:t>B.</w:t>
      </w:r>
      <w:r>
        <w:rPr>
          <w:rFonts w:ascii="Arial" w:hAnsi="Arial"/>
          <w:sz w:val="22"/>
          <w:szCs w:val="22"/>
        </w:rPr>
        <w:t xml:space="preserve"> „gleichseitig“ oder „gleichschenklig“, kommt hier besondere Bedeutung zu. Dazu ist es naheliegend, die Figur gedanklich in Teilfiguren zu unterteilen (K2, K4).</w:t>
      </w:r>
    </w:p>
    <w:p w:rsidR="00622B30" w:rsidRDefault="00622B30" w:rsidP="00622B30">
      <w:pPr>
        <w:pStyle w:val="IQB-AnweisungenText"/>
        <w:rPr>
          <w:rFonts w:ascii="Arial" w:hAnsi="Arial"/>
          <w:sz w:val="22"/>
          <w:szCs w:val="22"/>
        </w:rPr>
      </w:pPr>
      <w:r>
        <w:rPr>
          <w:rFonts w:ascii="Arial" w:hAnsi="Arial"/>
          <w:sz w:val="22"/>
          <w:szCs w:val="22"/>
        </w:rPr>
        <w:t xml:space="preserve">Diese Problemlösestrategie kann auch bei Teilaufgabe 2 angewendet werden; insofern sind bei deren Bearbeitung dieselben Kompetenzen wie bei Teilaufgabe 1 involviert. So kann nach einer Unterteilung des Dreiecks </w:t>
      </w:r>
      <w:r>
        <w:rPr>
          <w:rFonts w:ascii="Arial" w:hAnsi="Arial"/>
          <w:i/>
          <w:sz w:val="22"/>
          <w:szCs w:val="22"/>
        </w:rPr>
        <w:t>DFH</w:t>
      </w:r>
      <w:r>
        <w:rPr>
          <w:rFonts w:ascii="Arial" w:hAnsi="Arial"/>
          <w:sz w:val="22"/>
          <w:szCs w:val="22"/>
        </w:rPr>
        <w:t xml:space="preserve"> in die drei Dreiecke </w:t>
      </w:r>
      <w:r>
        <w:rPr>
          <w:rFonts w:ascii="Arial" w:hAnsi="Arial"/>
          <w:i/>
          <w:sz w:val="22"/>
          <w:szCs w:val="22"/>
        </w:rPr>
        <w:t>DAH</w:t>
      </w:r>
      <w:r>
        <w:rPr>
          <w:rFonts w:ascii="Arial" w:hAnsi="Arial"/>
          <w:sz w:val="22"/>
          <w:szCs w:val="22"/>
        </w:rPr>
        <w:t xml:space="preserve">, </w:t>
      </w:r>
      <w:r>
        <w:rPr>
          <w:rFonts w:ascii="Arial" w:hAnsi="Arial"/>
          <w:i/>
          <w:sz w:val="22"/>
          <w:szCs w:val="22"/>
        </w:rPr>
        <w:t>ABH</w:t>
      </w:r>
      <w:r>
        <w:rPr>
          <w:rFonts w:ascii="Arial" w:hAnsi="Arial"/>
          <w:sz w:val="22"/>
          <w:szCs w:val="22"/>
        </w:rPr>
        <w:t xml:space="preserve"> und </w:t>
      </w:r>
      <w:r>
        <w:rPr>
          <w:rFonts w:ascii="Arial" w:hAnsi="Arial"/>
          <w:i/>
          <w:sz w:val="22"/>
          <w:szCs w:val="22"/>
        </w:rPr>
        <w:t>BFH</w:t>
      </w:r>
      <w:r>
        <w:rPr>
          <w:rFonts w:ascii="Arial" w:hAnsi="Arial"/>
          <w:sz w:val="22"/>
          <w:szCs w:val="22"/>
        </w:rPr>
        <w:t xml:space="preserve"> sowie der Betrachtung der jeweiligen Grundseitenlängen und der zugehörigen Höhen Sonjas Behauptung als richtig ausgewiesen werden (K1). Abschließend ist die Begründung nachvollziehbar darzulegen (K6).</w:t>
      </w:r>
    </w:p>
    <w:p w:rsidR="00622B30" w:rsidRDefault="00622B30" w:rsidP="00622B30">
      <w:pPr>
        <w:pStyle w:val="IQB-AnweisungenText"/>
        <w:rPr>
          <w:rFonts w:ascii="Arial" w:hAnsi="Arial"/>
          <w:sz w:val="22"/>
          <w:szCs w:val="22"/>
        </w:rPr>
      </w:pPr>
      <w:r>
        <w:rPr>
          <w:rFonts w:ascii="Arial" w:hAnsi="Arial"/>
          <w:sz w:val="22"/>
          <w:szCs w:val="22"/>
        </w:rPr>
        <w:t>Beide Teilaufgaben werden dem Anforderungsbereich III zugeordnet, da in beiden Teilaufgaben Aussagen nicht nur interpretiert, sondern auch bewertet werden.</w:t>
      </w:r>
    </w:p>
    <w:p w:rsidR="00694A63" w:rsidRPr="00694A63" w:rsidRDefault="00694A63" w:rsidP="00694A63">
      <w:pPr>
        <w:pStyle w:val="IQB-Teilaufgabentitel"/>
        <w:rPr>
          <w:b/>
        </w:rPr>
      </w:pPr>
      <w:r w:rsidRPr="00694A63">
        <w:rPr>
          <w:b/>
        </w:rPr>
        <w:t>Anregungen für den Unterricht</w:t>
      </w:r>
    </w:p>
    <w:p w:rsidR="00622B30" w:rsidRDefault="00622B30" w:rsidP="00622B30">
      <w:pPr>
        <w:pStyle w:val="IQB-AnweisungenText"/>
        <w:spacing w:before="0"/>
        <w:rPr>
          <w:rFonts w:ascii="Arial" w:hAnsi="Arial"/>
          <w:sz w:val="22"/>
          <w:szCs w:val="22"/>
        </w:rPr>
      </w:pPr>
      <w:r>
        <w:rPr>
          <w:rFonts w:ascii="Arial" w:hAnsi="Arial"/>
          <w:sz w:val="22"/>
          <w:szCs w:val="22"/>
        </w:rPr>
        <w:t xml:space="preserve">Beide Aufgaben verlangen von Schülerinnen und Schülern aus einer gegebenen Konstruktion Merkmale von Dreiecken abzuleiten. Zur korrekten Lösung von Teilaufgabe 1 muss beispielsweise erkannt werden, dass das Dreieck </w:t>
      </w:r>
      <w:r>
        <w:rPr>
          <w:rFonts w:ascii="Arial" w:hAnsi="Arial"/>
          <w:i/>
          <w:sz w:val="22"/>
          <w:szCs w:val="22"/>
        </w:rPr>
        <w:t>ABH</w:t>
      </w:r>
      <w:r>
        <w:rPr>
          <w:rFonts w:ascii="Arial" w:hAnsi="Arial"/>
          <w:sz w:val="22"/>
          <w:szCs w:val="22"/>
        </w:rPr>
        <w:t xml:space="preserve"> gleichseitig ist, worauf die Behauptung „Alle Winkel sind gleich groß.“ folgt. Es muss erkannt werden, dass </w:t>
      </w:r>
      <w:r>
        <w:rPr>
          <w:rFonts w:ascii="Arial" w:hAnsi="Arial"/>
          <w:i/>
          <w:sz w:val="22"/>
          <w:szCs w:val="22"/>
        </w:rPr>
        <w:t>F</w:t>
      </w:r>
      <w:r>
        <w:rPr>
          <w:rFonts w:ascii="Arial" w:hAnsi="Arial"/>
          <w:sz w:val="22"/>
          <w:szCs w:val="22"/>
        </w:rPr>
        <w:t xml:space="preserve"> und </w:t>
      </w:r>
      <w:r>
        <w:rPr>
          <w:rFonts w:ascii="Arial" w:hAnsi="Arial"/>
          <w:i/>
          <w:sz w:val="22"/>
          <w:szCs w:val="22"/>
        </w:rPr>
        <w:t>H</w:t>
      </w:r>
      <w:r>
        <w:rPr>
          <w:rFonts w:ascii="Arial" w:hAnsi="Arial"/>
          <w:sz w:val="22"/>
          <w:szCs w:val="22"/>
        </w:rPr>
        <w:t xml:space="preserve"> auf einem Kreis um </w:t>
      </w:r>
      <w:r>
        <w:rPr>
          <w:rFonts w:ascii="Arial" w:hAnsi="Arial"/>
          <w:i/>
          <w:sz w:val="22"/>
          <w:szCs w:val="22"/>
        </w:rPr>
        <w:t>B</w:t>
      </w:r>
      <w:r>
        <w:rPr>
          <w:rFonts w:ascii="Arial" w:hAnsi="Arial"/>
          <w:sz w:val="22"/>
          <w:szCs w:val="22"/>
        </w:rPr>
        <w:t xml:space="preserve"> liegen und daher das Dreieck </w:t>
      </w:r>
      <w:r>
        <w:rPr>
          <w:rFonts w:ascii="Arial" w:hAnsi="Arial"/>
          <w:i/>
          <w:sz w:val="22"/>
          <w:szCs w:val="22"/>
        </w:rPr>
        <w:t>BFH</w:t>
      </w:r>
      <w:r>
        <w:rPr>
          <w:rFonts w:ascii="Arial" w:hAnsi="Arial"/>
          <w:sz w:val="22"/>
          <w:szCs w:val="22"/>
        </w:rPr>
        <w:t xml:space="preserve"> gleichschenklig ist. In Teilaufgabe 2 führt die Erkenntnis zur Lösung, dass die Grundseite des Dreiecks </w:t>
      </w:r>
      <w:r>
        <w:rPr>
          <w:rFonts w:ascii="Arial" w:hAnsi="Arial"/>
          <w:i/>
          <w:sz w:val="22"/>
          <w:szCs w:val="22"/>
        </w:rPr>
        <w:t>DFH</w:t>
      </w:r>
      <w:r>
        <w:rPr>
          <w:rFonts w:ascii="Arial" w:hAnsi="Arial"/>
          <w:sz w:val="22"/>
          <w:szCs w:val="22"/>
        </w:rPr>
        <w:t xml:space="preserve"> dreimal so lang ist wie die vom Dreieck </w:t>
      </w:r>
      <w:r>
        <w:rPr>
          <w:rFonts w:ascii="Arial" w:hAnsi="Arial"/>
          <w:i/>
          <w:sz w:val="22"/>
          <w:szCs w:val="22"/>
        </w:rPr>
        <w:t>ABH</w:t>
      </w:r>
      <w:r>
        <w:rPr>
          <w:rFonts w:ascii="Arial" w:hAnsi="Arial"/>
          <w:sz w:val="22"/>
          <w:szCs w:val="22"/>
        </w:rPr>
        <w:t xml:space="preserve"> und sich bei gleicher Höhe ein dreimal so großer Flächeninhalt ergibt. Die Aufgabe bietet demnach Anlass über die Konstruktionseigenschaften der Dreiecke ohne Rückgriff auf Maßangaben nachzudenken.</w:t>
      </w:r>
    </w:p>
    <w:p w:rsidR="00622B30" w:rsidRDefault="00622B30" w:rsidP="00622B30">
      <w:pPr>
        <w:pStyle w:val="IQB-AnweisungenText"/>
        <w:rPr>
          <w:rFonts w:ascii="Arial" w:hAnsi="Arial"/>
          <w:sz w:val="22"/>
          <w:szCs w:val="22"/>
        </w:rPr>
      </w:pPr>
      <w:r>
        <w:rPr>
          <w:rFonts w:ascii="Arial" w:hAnsi="Arial"/>
          <w:sz w:val="22"/>
          <w:szCs w:val="22"/>
        </w:rPr>
        <w:lastRenderedPageBreak/>
        <w:t xml:space="preserve">Die Grafik zur Aufgabe wurde mit einer dynamischen Geometriesoftware erstellt. Dies erlaubt es, auf sehr schnelle und anschauliche Weise geometrische Figuren zu variieren. Dadurch kann von Schülerinnen und Schülern </w:t>
      </w:r>
      <w:r>
        <w:rPr>
          <w:rFonts w:ascii="Arial" w:hAnsi="Arial"/>
          <w:color w:val="000000"/>
          <w:sz w:val="22"/>
          <w:szCs w:val="22"/>
        </w:rPr>
        <w:t>z.</w:t>
      </w:r>
      <w:r>
        <w:rPr>
          <w:rFonts w:ascii="Arial" w:hAnsi="Arial"/>
          <w:color w:val="000000"/>
          <w:sz w:val="12"/>
          <w:szCs w:val="12"/>
        </w:rPr>
        <w:t> </w:t>
      </w:r>
      <w:r>
        <w:rPr>
          <w:rFonts w:ascii="Arial" w:hAnsi="Arial"/>
          <w:color w:val="000000"/>
          <w:sz w:val="22"/>
          <w:szCs w:val="22"/>
        </w:rPr>
        <w:t>B.</w:t>
      </w:r>
      <w:r>
        <w:rPr>
          <w:rFonts w:ascii="Arial" w:hAnsi="Arial"/>
          <w:sz w:val="22"/>
          <w:szCs w:val="22"/>
        </w:rPr>
        <w:t xml:space="preserve"> untersucht werden, welche Struktur</w:t>
      </w:r>
      <w:bookmarkStart w:id="0" w:name="_GoBack"/>
      <w:bookmarkEnd w:id="0"/>
      <w:r>
        <w:rPr>
          <w:rFonts w:ascii="Arial" w:hAnsi="Arial"/>
          <w:sz w:val="22"/>
          <w:szCs w:val="22"/>
        </w:rPr>
        <w:t xml:space="preserve">merkmale der Figur erhalten bleiben, wenn der Radius des Kreises verändert wird. Alternativ können in der gegebenen Figur weitere Teildreiecke und deren Eigenschaften untersucht werden, um so Vernetzungen zu anderen Themengebieten, wie </w:t>
      </w:r>
      <w:r>
        <w:rPr>
          <w:rFonts w:ascii="Arial" w:hAnsi="Arial"/>
          <w:color w:val="000000"/>
          <w:sz w:val="22"/>
          <w:szCs w:val="22"/>
        </w:rPr>
        <w:t>z.</w:t>
      </w:r>
      <w:r>
        <w:rPr>
          <w:rFonts w:ascii="Arial" w:hAnsi="Arial"/>
          <w:color w:val="000000"/>
          <w:sz w:val="12"/>
          <w:szCs w:val="12"/>
        </w:rPr>
        <w:t> </w:t>
      </w:r>
      <w:r>
        <w:rPr>
          <w:rFonts w:ascii="Arial" w:hAnsi="Arial"/>
          <w:color w:val="000000"/>
          <w:sz w:val="22"/>
          <w:szCs w:val="22"/>
        </w:rPr>
        <w:t>B.</w:t>
      </w:r>
      <w:r>
        <w:rPr>
          <w:rFonts w:ascii="Arial" w:hAnsi="Arial"/>
          <w:sz w:val="22"/>
          <w:szCs w:val="22"/>
        </w:rPr>
        <w:t xml:space="preserve"> den Winkelsätzen am Kreis, herzustellen. Dabei eröffnen sich auf natürliche Weise weitere Gelegenheiten für Argumentationen, etwa um zu begründen, dass die Dreiecke </w:t>
      </w:r>
      <w:r>
        <w:rPr>
          <w:rFonts w:ascii="Arial" w:hAnsi="Arial"/>
          <w:i/>
          <w:sz w:val="22"/>
          <w:szCs w:val="22"/>
        </w:rPr>
        <w:t>AFH</w:t>
      </w:r>
      <w:r>
        <w:rPr>
          <w:rFonts w:ascii="Arial" w:hAnsi="Arial"/>
          <w:sz w:val="22"/>
          <w:szCs w:val="22"/>
        </w:rPr>
        <w:t xml:space="preserve"> und </w:t>
      </w:r>
      <w:r>
        <w:rPr>
          <w:rFonts w:ascii="Arial" w:hAnsi="Arial"/>
          <w:i/>
          <w:sz w:val="22"/>
          <w:szCs w:val="22"/>
        </w:rPr>
        <w:t>DBH</w:t>
      </w:r>
      <w:r>
        <w:rPr>
          <w:rFonts w:ascii="Arial" w:hAnsi="Arial"/>
          <w:sz w:val="22"/>
          <w:szCs w:val="22"/>
        </w:rPr>
        <w:t xml:space="preserve"> rechtwinklig sind.</w:t>
      </w:r>
    </w:p>
    <w:p w:rsidR="00694A63" w:rsidRPr="005B2F65" w:rsidRDefault="00694A63" w:rsidP="00622B30">
      <w:pPr>
        <w:pStyle w:val="IQB-AnweisungenText"/>
        <w:spacing w:before="0"/>
        <w:rPr>
          <w:sz w:val="22"/>
          <w:szCs w:val="22"/>
        </w:rPr>
      </w:pPr>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FA1B63FD-B3EF-42A9-97CA-90D0895788C8}"/>
    <w:embedBold r:id="rId2" w:fontKey="{E9992A4F-7F72-4FCE-93F0-905B8268C925}"/>
    <w:embedItalic r:id="rId3" w:fontKey="{4B979B5F-F131-40FE-A969-3B41FB8C4628}"/>
    <w:embedBoldItalic r:id="rId4" w:fontKey="{2E8D550A-E642-4C88-9A13-E32A4B668473}"/>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22B30"/>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5722CFA4"/>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653397">
      <w:bodyDiv w:val="1"/>
      <w:marLeft w:val="0"/>
      <w:marRight w:val="0"/>
      <w:marTop w:val="0"/>
      <w:marBottom w:val="0"/>
      <w:divBdr>
        <w:top w:val="none" w:sz="0" w:space="0" w:color="auto"/>
        <w:left w:val="none" w:sz="0" w:space="0" w:color="auto"/>
        <w:bottom w:val="none" w:sz="0" w:space="0" w:color="auto"/>
        <w:right w:val="none" w:sz="0" w:space="0" w:color="auto"/>
      </w:divBdr>
    </w:div>
    <w:div w:id="605385940">
      <w:bodyDiv w:val="1"/>
      <w:marLeft w:val="0"/>
      <w:marRight w:val="0"/>
      <w:marTop w:val="0"/>
      <w:marBottom w:val="0"/>
      <w:divBdr>
        <w:top w:val="none" w:sz="0" w:space="0" w:color="auto"/>
        <w:left w:val="none" w:sz="0" w:space="0" w:color="auto"/>
        <w:bottom w:val="none" w:sz="0" w:space="0" w:color="auto"/>
        <w:right w:val="none" w:sz="0" w:space="0" w:color="auto"/>
      </w:divBdr>
    </w:div>
    <w:div w:id="1209418742">
      <w:bodyDiv w:val="1"/>
      <w:marLeft w:val="0"/>
      <w:marRight w:val="0"/>
      <w:marTop w:val="0"/>
      <w:marBottom w:val="0"/>
      <w:divBdr>
        <w:top w:val="none" w:sz="0" w:space="0" w:color="auto"/>
        <w:left w:val="none" w:sz="0" w:space="0" w:color="auto"/>
        <w:bottom w:val="none" w:sz="0" w:space="0" w:color="auto"/>
        <w:right w:val="none" w:sz="0" w:space="0" w:color="auto"/>
      </w:divBdr>
    </w:div>
    <w:div w:id="1292596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F28BBD-8A46-4CEF-8A7F-84903956F1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451</Words>
  <Characters>2927</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2025-07-21T11:20:00Z</dcterms:created>
  <dcterms:modified xsi:type="dcterms:W3CDTF">2025-07-21T11:20:00Z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